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96"/>
        </w:tabs>
        <w:spacing w:line="560" w:lineRule="exact"/>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rPr>
        <w:t>绿色创新专项基金2017</w:t>
      </w:r>
      <w:r>
        <w:rPr>
          <w:rFonts w:hint="eastAsia" w:asciiTheme="majorEastAsia" w:hAnsiTheme="majorEastAsia" w:eastAsiaTheme="majorEastAsia"/>
          <w:b/>
          <w:sz w:val="36"/>
          <w:szCs w:val="36"/>
          <w:lang w:val="en-US" w:eastAsia="zh-CN"/>
        </w:rPr>
        <w:t>-2018</w:t>
      </w:r>
      <w:r>
        <w:rPr>
          <w:rFonts w:hint="eastAsia" w:asciiTheme="majorEastAsia" w:hAnsiTheme="majorEastAsia" w:eastAsiaTheme="majorEastAsia"/>
          <w:b/>
          <w:sz w:val="36"/>
          <w:szCs w:val="36"/>
        </w:rPr>
        <w:t>年</w:t>
      </w:r>
      <w:r>
        <w:rPr>
          <w:rFonts w:hint="eastAsia" w:asciiTheme="majorEastAsia" w:hAnsiTheme="majorEastAsia" w:eastAsiaTheme="majorEastAsia"/>
          <w:b/>
          <w:sz w:val="36"/>
          <w:szCs w:val="36"/>
          <w:lang w:eastAsia="zh-CN"/>
        </w:rPr>
        <w:t>度</w:t>
      </w:r>
      <w:r>
        <w:rPr>
          <w:rFonts w:hint="eastAsia" w:asciiTheme="majorEastAsia" w:hAnsiTheme="majorEastAsia" w:eastAsiaTheme="majorEastAsia"/>
          <w:b/>
          <w:sz w:val="36"/>
          <w:szCs w:val="36"/>
        </w:rPr>
        <w:t>工作</w:t>
      </w:r>
      <w:r>
        <w:rPr>
          <w:rFonts w:hint="eastAsia" w:asciiTheme="majorEastAsia" w:hAnsiTheme="majorEastAsia" w:eastAsiaTheme="majorEastAsia"/>
          <w:b/>
          <w:sz w:val="36"/>
          <w:szCs w:val="36"/>
          <w:lang w:eastAsia="zh-CN"/>
        </w:rPr>
        <w:t>报告</w:t>
      </w:r>
    </w:p>
    <w:p>
      <w:pPr>
        <w:tabs>
          <w:tab w:val="left" w:pos="696"/>
        </w:tabs>
        <w:spacing w:line="560" w:lineRule="exact"/>
        <w:ind w:firstLine="723" w:firstLineChars="200"/>
        <w:rPr>
          <w:rFonts w:hint="eastAsia" w:asciiTheme="majorEastAsia" w:hAnsiTheme="majorEastAsia" w:eastAsiaTheme="majorEastAsia"/>
          <w:b/>
          <w:sz w:val="36"/>
          <w:szCs w:val="36"/>
          <w:lang w:eastAsia="zh-CN"/>
        </w:rPr>
      </w:pPr>
    </w:p>
    <w:p>
      <w:p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1、委托</w:t>
      </w:r>
      <w:r>
        <w:rPr>
          <w:rFonts w:ascii="仿宋" w:hAnsi="仿宋" w:eastAsia="仿宋"/>
          <w:sz w:val="32"/>
          <w:szCs w:val="32"/>
        </w:rPr>
        <w:t>中国物资再生协会</w:t>
      </w:r>
      <w:r>
        <w:rPr>
          <w:rFonts w:hint="eastAsia" w:ascii="仿宋" w:hAnsi="仿宋" w:eastAsia="仿宋"/>
          <w:sz w:val="32"/>
          <w:szCs w:val="32"/>
        </w:rPr>
        <w:t>北京</w:t>
      </w:r>
      <w:r>
        <w:rPr>
          <w:rFonts w:ascii="仿宋" w:hAnsi="仿宋" w:eastAsia="仿宋"/>
          <w:sz w:val="32"/>
          <w:szCs w:val="32"/>
        </w:rPr>
        <w:t>资源强制回收</w:t>
      </w:r>
      <w:r>
        <w:rPr>
          <w:rFonts w:hint="eastAsia" w:ascii="仿宋" w:hAnsi="仿宋" w:eastAsia="仿宋"/>
          <w:sz w:val="32"/>
          <w:szCs w:val="32"/>
        </w:rPr>
        <w:t>环保</w:t>
      </w:r>
      <w:r>
        <w:rPr>
          <w:rFonts w:ascii="仿宋" w:hAnsi="仿宋" w:eastAsia="仿宋"/>
          <w:sz w:val="32"/>
          <w:szCs w:val="32"/>
        </w:rPr>
        <w:t>产业技术创新战略联盟</w:t>
      </w:r>
      <w:r>
        <w:rPr>
          <w:rFonts w:hint="eastAsia" w:ascii="仿宋" w:hAnsi="仿宋" w:eastAsia="仿宋"/>
          <w:sz w:val="32"/>
          <w:szCs w:val="32"/>
        </w:rPr>
        <w:t>开展包括“包装物押金制”在内的“生产者责任延伸制度”相应制度研究。2017年5月30日至6月8日，国家发改委环资司、中国物资再生协会代表一行11人访问欧洲，并就挪威、瑞典、芬兰三国欧盟循环经济发展制度、垃圾分类减量措施、生产者责任管理制度及押金制实践进行了一系列研讨和实地调研。</w:t>
      </w:r>
    </w:p>
    <w:p>
      <w:p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国家发改委相关领导充分了解欧洲的垃圾分类和垃圾分选的相关政策和解决方案，并对垃圾分选解决方案产生浓厚兴趣。</w:t>
      </w:r>
    </w:p>
    <w:p>
      <w:pPr>
        <w:numPr>
          <w:ilvl w:val="0"/>
          <w:numId w:val="1"/>
        </w:num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委托中国循环经济协会开展押金制政策研究工作，组织开展以“饮料标准包装物”</w:t>
      </w:r>
      <w:r>
        <w:rPr>
          <w:rFonts w:ascii="仿宋" w:hAnsi="仿宋" w:eastAsia="仿宋"/>
          <w:sz w:val="32"/>
          <w:szCs w:val="32"/>
        </w:rPr>
        <w:t>为重点的</w:t>
      </w:r>
      <w:r>
        <w:rPr>
          <w:rFonts w:hint="eastAsia" w:ascii="仿宋" w:hAnsi="仿宋" w:eastAsia="仿宋"/>
          <w:sz w:val="32"/>
          <w:szCs w:val="32"/>
        </w:rPr>
        <w:t>押金制相关理论研究、政策</w:t>
      </w:r>
      <w:r>
        <w:rPr>
          <w:rFonts w:ascii="仿宋" w:hAnsi="仿宋" w:eastAsia="仿宋"/>
          <w:sz w:val="32"/>
          <w:szCs w:val="32"/>
        </w:rPr>
        <w:t>体制建议</w:t>
      </w:r>
      <w:r>
        <w:rPr>
          <w:rFonts w:hint="eastAsia" w:ascii="仿宋" w:hAnsi="仿宋" w:eastAsia="仿宋"/>
          <w:sz w:val="32"/>
          <w:szCs w:val="32"/>
        </w:rPr>
        <w:t>、考察调研实践等工作，共同推进“饮料标准包装物押金体系”的建立与完善，推动再生资源回收利用体系规范化、规模化、产业化发展。</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联合国家发改委、商务部、人大环资委及专家学者组成课题组，对押金制的研究及实施建议形成报告。</w:t>
      </w:r>
    </w:p>
    <w:p>
      <w:p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报告已提交给国家发改委、商务部、工信部等相关政府部门。</w:t>
      </w:r>
    </w:p>
    <w:p>
      <w:pPr>
        <w:numPr>
          <w:ilvl w:val="0"/>
          <w:numId w:val="1"/>
        </w:num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委托中国合成树脂供销协会塑料循环分会开展“饮料标准包装物押金制课题研究”工作。</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在禁止洋垃圾进口的背景下，联合行业协会、企业、化纤行业企业等上下游企业共同推动押金制，并开启行业相关课题的研究工作。</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4、支持“瓶安˙中国”大型环境保护宣教类公益项目，为今后押金制在国内的开展做前期铺垫。“瓶安˙中国”项目从一只饮料瓶开始，以“安全回收、杜绝二次污染”为主要内容，通过饮料瓶智能回收机的智能回收网络，搭建起一个公众、企业、机构共同参与的环保回收平台，让饮料瓶回到安全环保的再生渠道。</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支持“瓶安•中国”大型环保公益项目。</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与95后APP微愿联合开展#微愿应援瓶#活动，邀请众多明星及年轻粉丝团体参与。</w:t>
      </w:r>
    </w:p>
    <w:p>
      <w:pPr>
        <w:tabs>
          <w:tab w:val="left" w:pos="696"/>
        </w:tabs>
        <w:spacing w:line="560" w:lineRule="exact"/>
        <w:rPr>
          <w:rFonts w:ascii="仿宋" w:hAnsi="仿宋" w:eastAsia="仿宋"/>
          <w:sz w:val="32"/>
          <w:szCs w:val="32"/>
        </w:rPr>
      </w:pPr>
      <w:r>
        <w:rPr>
          <w:rFonts w:hint="eastAsia" w:ascii="仿宋" w:hAnsi="仿宋" w:eastAsia="仿宋"/>
          <w:sz w:val="32"/>
          <w:szCs w:val="32"/>
        </w:rPr>
        <w:t xml:space="preserve">    活动持续2个月，安全回收饮料瓶30+万。</w:t>
      </w:r>
    </w:p>
    <w:p>
      <w:pPr>
        <w:tabs>
          <w:tab w:val="left" w:pos="696"/>
        </w:tabs>
        <w:spacing w:line="560" w:lineRule="exact"/>
        <w:ind w:firstLine="640" w:firstLineChars="200"/>
        <w:rPr>
          <w:rFonts w:ascii="仿宋" w:hAnsi="仿宋" w:eastAsia="仿宋"/>
          <w:sz w:val="32"/>
          <w:szCs w:val="32"/>
        </w:rPr>
      </w:pPr>
      <w:r>
        <w:rPr>
          <w:rFonts w:hint="eastAsia" w:ascii="仿宋" w:hAnsi="仿宋" w:eastAsia="仿宋"/>
          <w:sz w:val="32"/>
          <w:szCs w:val="32"/>
        </w:rPr>
        <w:t>北京业之峰诺华装饰股份有限公司捐赠100万元助力“瓶安·中国”项目。</w:t>
      </w:r>
    </w:p>
    <w:p>
      <w:pPr>
        <w:tabs>
          <w:tab w:val="left" w:pos="696"/>
        </w:tabs>
        <w:spacing w:line="560" w:lineRule="exact"/>
        <w:rPr>
          <w:rFonts w:ascii="仿宋" w:hAnsi="仿宋" w:eastAsia="仿宋"/>
          <w:b/>
          <w:bCs/>
          <w:sz w:val="32"/>
          <w:szCs w:val="32"/>
        </w:rPr>
      </w:pPr>
      <w:r>
        <w:rPr>
          <w:rFonts w:hint="eastAsia" w:ascii="仿宋" w:hAnsi="仿宋" w:eastAsia="仿宋"/>
          <w:b/>
          <w:bCs/>
          <w:sz w:val="32"/>
          <w:szCs w:val="32"/>
        </w:rPr>
        <w:t>表格为2017年</w:t>
      </w:r>
      <w:r>
        <w:rPr>
          <w:rFonts w:hint="eastAsia" w:ascii="仿宋" w:hAnsi="仿宋" w:eastAsia="仿宋"/>
          <w:b/>
          <w:bCs/>
          <w:sz w:val="32"/>
          <w:szCs w:val="32"/>
          <w:lang w:eastAsia="zh-CN"/>
        </w:rPr>
        <w:t>度</w:t>
      </w:r>
      <w:bookmarkStart w:id="0" w:name="_GoBack"/>
      <w:bookmarkEnd w:id="0"/>
      <w:r>
        <w:rPr>
          <w:rFonts w:hint="eastAsia" w:ascii="仿宋" w:hAnsi="仿宋" w:eastAsia="仿宋"/>
          <w:b/>
          <w:bCs/>
          <w:sz w:val="32"/>
          <w:szCs w:val="32"/>
        </w:rPr>
        <w:t>各项目资金支出情况</w:t>
      </w:r>
    </w:p>
    <w:p>
      <w:r>
        <w:rPr>
          <w:lang w:bidi="ar-SA"/>
        </w:rPr>
        <w:drawing>
          <wp:inline distT="0" distB="0" distL="114300" distR="114300">
            <wp:extent cx="5349875" cy="3055620"/>
            <wp:effectExtent l="0" t="0" r="1460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349875" cy="3055620"/>
                    </a:xfrm>
                    <a:prstGeom prst="rect">
                      <a:avLst/>
                    </a:prstGeom>
                    <a:noFill/>
                    <a:ln w="9525">
                      <a:noFill/>
                      <a:miter/>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211">
    <w:altName w:val="宋体"/>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349E5"/>
    <w:multiLevelType w:val="singleLevel"/>
    <w:tmpl w:val="5A6349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GIzMDJiN2RlMDJiZGRkN2ExMDFkNDgyYjU1NDMifQ=="/>
  </w:docVars>
  <w:rsids>
    <w:rsidRoot w:val="00000000"/>
    <w:rsid w:val="28083ADB"/>
    <w:rsid w:val="28154539"/>
    <w:rsid w:val="6AA0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uppressAutoHyphens/>
      <w:overflowPunct w:val="0"/>
      <w:jc w:val="both"/>
    </w:pPr>
    <w:rPr>
      <w:rFonts w:ascii="Calibri" w:hAnsi="Calibri" w:eastAsia="宋体" w:cs="font211"/>
      <w:kern w:val="2"/>
      <w:sz w:val="21"/>
      <w:szCs w:val="22"/>
      <w:lang w:val="en-US" w:eastAsia="zh-CN" w:bidi="zh-CN"/>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2024-04-29T02:53:00Z</dcterms:created>
  <dc:creator>admin</dc:creator>
  <cp:lastModifiedBy>王晓鸽</cp:lastModifiedBy>
  <dcterms:modified xsi:type="dcterms:W3CDTF">2024-04-29T03:09:18Z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66017CD43C8048DD9B0F3F5AC1EE5AA7_12</vt:lpwstr>
  </property>
</Properties>
</file>